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ind w:right="-36"/>
        <w:contextualSpacing w:val="0"/>
      </w:pPr>
      <w:r w:rsidDel="00000000" w:rsidR="00000000" w:rsidRPr="00000000">
        <w:rPr>
          <w:rtl w:val="0"/>
        </w:rPr>
        <w:t xml:space="preserve">Choral Ensembles (Mixed Chorus, Choristers, Women’s Ensemble, Men’s Ensemble)</w:t>
      </w: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vertAlign w:val="baseline"/>
          <w:rtl w:val="0"/>
        </w:rPr>
        <w:t xml:space="preserve">Grading Policy 2016-2017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vertAlign w:val="baseline"/>
          <w:rtl w:val="0"/>
        </w:rPr>
        <w:t xml:space="preserve">Concert Attendance Policy</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vertAlign w:val="baseline"/>
          <w:rtl w:val="0"/>
        </w:rPr>
        <w:tab/>
      </w:r>
      <w:r w:rsidDel="00000000" w:rsidR="00000000" w:rsidRPr="00000000">
        <w:rPr>
          <w:sz w:val="22"/>
          <w:szCs w:val="22"/>
          <w:vertAlign w:val="baseline"/>
          <w:rtl w:val="0"/>
        </w:rPr>
        <w:t xml:space="preserve">All Choral students are expected to participate in all performances during any and all given marking periods. Attendance is factored in with the marking period average. Part of the choral experience is learning how to plan one’s schedule to avoid conflicts with prior commitments. If a conflict should arise, it is expected that the student will (1.) Notify the director well in advance. (2.) Try to resolve the issue. (3.) Make arrangements with the director for a “make-up” performance. Performance Credit </w:t>
      </w:r>
      <w:r w:rsidDel="00000000" w:rsidR="00000000" w:rsidRPr="00000000">
        <w:rPr>
          <w:b w:val="1"/>
          <w:sz w:val="22"/>
          <w:szCs w:val="22"/>
          <w:vertAlign w:val="baseline"/>
          <w:rtl w:val="0"/>
        </w:rPr>
        <w:t xml:space="preserve">will not</w:t>
      </w:r>
      <w:r w:rsidDel="00000000" w:rsidR="00000000" w:rsidRPr="00000000">
        <w:rPr>
          <w:sz w:val="22"/>
          <w:szCs w:val="22"/>
          <w:vertAlign w:val="baseline"/>
          <w:rtl w:val="0"/>
        </w:rPr>
        <w:t xml:space="preserve"> be awarded if a performance is not given.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vertAlign w:val="baseline"/>
          <w:rtl w:val="0"/>
        </w:rPr>
        <w:t xml:space="preserve">Concert Dress Code</w:t>
      </w:r>
    </w:p>
    <w:p w:rsidR="00000000" w:rsidDel="00000000" w:rsidP="00000000" w:rsidRDefault="00000000" w:rsidRPr="00000000">
      <w:pPr>
        <w:contextualSpacing w:val="0"/>
      </w:pPr>
      <w:r w:rsidDel="00000000" w:rsidR="00000000" w:rsidRPr="00000000">
        <w:rPr>
          <w:vertAlign w:val="baseline"/>
          <w:rtl w:val="0"/>
        </w:rPr>
        <w:tab/>
      </w:r>
      <w:r w:rsidDel="00000000" w:rsidR="00000000" w:rsidRPr="00000000">
        <w:rPr>
          <w:b w:val="1"/>
          <w:sz w:val="22"/>
          <w:szCs w:val="22"/>
          <w:vertAlign w:val="baseline"/>
          <w:rtl w:val="0"/>
        </w:rPr>
        <w:t xml:space="preserve">Women</w:t>
      </w:r>
      <w:r w:rsidDel="00000000" w:rsidR="00000000" w:rsidRPr="00000000">
        <w:rPr>
          <w:sz w:val="22"/>
          <w:szCs w:val="22"/>
          <w:vertAlign w:val="baseline"/>
          <w:rtl w:val="0"/>
        </w:rPr>
        <w:t xml:space="preserve">: White Button-up Blouse</w:t>
      </w:r>
      <w:r w:rsidDel="00000000" w:rsidR="00000000" w:rsidRPr="00000000">
        <w:rPr>
          <w:sz w:val="22"/>
          <w:szCs w:val="22"/>
          <w:rtl w:val="0"/>
        </w:rPr>
        <w:t xml:space="preserve">, </w:t>
      </w:r>
      <w:r w:rsidDel="00000000" w:rsidR="00000000" w:rsidRPr="00000000">
        <w:rPr>
          <w:sz w:val="22"/>
          <w:szCs w:val="22"/>
          <w:vertAlign w:val="baseline"/>
          <w:rtl w:val="0"/>
        </w:rPr>
        <w:t xml:space="preserve">Long Black Skirt or Black Pants.</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r>
      <w:r w:rsidDel="00000000" w:rsidR="00000000" w:rsidRPr="00000000">
        <w:rPr>
          <w:b w:val="1"/>
          <w:sz w:val="22"/>
          <w:szCs w:val="22"/>
          <w:vertAlign w:val="baseline"/>
          <w:rtl w:val="0"/>
        </w:rPr>
        <w:t xml:space="preserve">Men: </w:t>
      </w:r>
      <w:r w:rsidDel="00000000" w:rsidR="00000000" w:rsidRPr="00000000">
        <w:rPr>
          <w:sz w:val="22"/>
          <w:szCs w:val="22"/>
          <w:vertAlign w:val="baseline"/>
          <w:rtl w:val="0"/>
        </w:rPr>
        <w:t xml:space="preserve">Black Pants, Black Shoes, white button-up shirt, black bow-tie or black tie</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ab/>
        <w:tab/>
      </w:r>
      <w:r w:rsidDel="00000000" w:rsidR="00000000" w:rsidRPr="00000000">
        <w:rPr>
          <w:b w:val="1"/>
          <w:sz w:val="22"/>
          <w:szCs w:val="22"/>
          <w:u w:val="single"/>
          <w:vertAlign w:val="baseline"/>
          <w:rtl w:val="0"/>
        </w:rPr>
        <w:t xml:space="preserve">Note</w:t>
      </w:r>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In order to ac</w:t>
      </w:r>
      <w:r w:rsidDel="00000000" w:rsidR="00000000" w:rsidRPr="00000000">
        <w:rPr>
          <w:sz w:val="22"/>
          <w:szCs w:val="22"/>
          <w:rtl w:val="0"/>
        </w:rPr>
        <w:t xml:space="preserve">hieve a uniformed look and performance, a</w:t>
      </w:r>
      <w:r w:rsidDel="00000000" w:rsidR="00000000" w:rsidRPr="00000000">
        <w:rPr>
          <w:sz w:val="22"/>
          <w:szCs w:val="22"/>
          <w:vertAlign w:val="baseline"/>
          <w:rtl w:val="0"/>
        </w:rPr>
        <w:t xml:space="preserve">ll clothing must be of a non-distracting nature, not revealing, and meet ALL aspects of the school dress code. No </w:t>
      </w:r>
      <w:r w:rsidDel="00000000" w:rsidR="00000000" w:rsidRPr="00000000">
        <w:rPr>
          <w:sz w:val="22"/>
          <w:szCs w:val="22"/>
          <w:rtl w:val="0"/>
        </w:rPr>
        <w:t xml:space="preserve">f</w:t>
      </w:r>
      <w:r w:rsidDel="00000000" w:rsidR="00000000" w:rsidRPr="00000000">
        <w:rPr>
          <w:sz w:val="22"/>
          <w:szCs w:val="22"/>
          <w:vertAlign w:val="baseline"/>
          <w:rtl w:val="0"/>
        </w:rPr>
        <w:t xml:space="preserve">lip-flops, or sneakers are acceptable</w:t>
      </w:r>
      <w:r w:rsidDel="00000000" w:rsidR="00000000" w:rsidRPr="00000000">
        <w:rPr>
          <w:sz w:val="22"/>
          <w:szCs w:val="22"/>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Grading Policy</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ab/>
      </w:r>
      <w:r w:rsidDel="00000000" w:rsidR="00000000" w:rsidRPr="00000000">
        <w:rPr>
          <w:sz w:val="22"/>
          <w:szCs w:val="22"/>
          <w:rtl w:val="0"/>
        </w:rPr>
        <w:t xml:space="preserve">In light of the district’s decision to embrace the International Baccalaureate Program, the grading structure will have some new dimensions which will serve the students better and become a more accurate reflection of the work they do in the CPP High School music program. One grade will be given every marking period in each of the following areas: Concert Performance, Participation, Attendance, Skills [Effort, Projection, Preparation, Part Checks, Posture]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290"/>
        </w:tabs>
        <w:contextualSpacing w:val="0"/>
      </w:pPr>
      <w:r w:rsidDel="00000000" w:rsidR="00000000" w:rsidRPr="00000000">
        <w:rPr>
          <w:b w:val="1"/>
          <w:sz w:val="24"/>
          <w:szCs w:val="24"/>
          <w:vertAlign w:val="baseline"/>
          <w:rtl w:val="0"/>
        </w:rPr>
        <w:t xml:space="preserve">Note</w:t>
      </w:r>
      <w:r w:rsidDel="00000000" w:rsidR="00000000" w:rsidRPr="00000000">
        <w:rPr>
          <w:sz w:val="24"/>
          <w:szCs w:val="24"/>
          <w:vertAlign w:val="baseline"/>
          <w:rtl w:val="0"/>
        </w:rPr>
        <w:t xml:space="preserve">: If there is no concert during the marking period, an </w:t>
      </w:r>
      <w:r w:rsidDel="00000000" w:rsidR="00000000" w:rsidRPr="00000000">
        <w:rPr>
          <w:i w:val="1"/>
          <w:sz w:val="24"/>
          <w:szCs w:val="24"/>
          <w:vertAlign w:val="baseline"/>
          <w:rtl w:val="0"/>
        </w:rPr>
        <w:t xml:space="preserve">Observation and Critique</w:t>
      </w:r>
      <w:r w:rsidDel="00000000" w:rsidR="00000000" w:rsidRPr="00000000">
        <w:rPr>
          <w:sz w:val="24"/>
          <w:szCs w:val="24"/>
          <w:vertAlign w:val="baseline"/>
          <w:rtl w:val="0"/>
        </w:rPr>
        <w:t xml:space="preserve"> grade will </w:t>
      </w:r>
      <w:r w:rsidDel="00000000" w:rsidR="00000000" w:rsidRPr="00000000">
        <w:rPr>
          <w:rtl w:val="0"/>
        </w:rPr>
      </w:r>
    </w:p>
    <w:p w:rsidR="00000000" w:rsidDel="00000000" w:rsidP="00000000" w:rsidRDefault="00000000" w:rsidRPr="00000000">
      <w:pPr>
        <w:tabs>
          <w:tab w:val="left" w:pos="7290"/>
        </w:tabs>
        <w:contextualSpacing w:val="0"/>
      </w:pPr>
      <w:r w:rsidDel="00000000" w:rsidR="00000000" w:rsidRPr="00000000">
        <w:rPr>
          <w:sz w:val="24"/>
          <w:szCs w:val="24"/>
          <w:vertAlign w:val="baseline"/>
          <w:rtl w:val="0"/>
        </w:rPr>
        <w:t xml:space="preserve">be substituted.</w:t>
      </w:r>
      <w:r w:rsidDel="00000000" w:rsidR="00000000" w:rsidRPr="00000000">
        <w:rPr>
          <w:rtl w:val="0"/>
        </w:rPr>
      </w:r>
    </w:p>
    <w:p w:rsidR="00000000" w:rsidDel="00000000" w:rsidP="00000000" w:rsidRDefault="00000000" w:rsidRPr="00000000">
      <w:pPr>
        <w:tabs>
          <w:tab w:val="left" w:pos="7290"/>
        </w:tabs>
        <w:contextualSpacing w:val="0"/>
      </w:pPr>
      <w:r w:rsidDel="00000000" w:rsidR="00000000" w:rsidRPr="00000000">
        <w:rPr>
          <w:rtl w:val="0"/>
        </w:rPr>
      </w:r>
    </w:p>
    <w:p w:rsidR="00000000" w:rsidDel="00000000" w:rsidP="00000000" w:rsidRDefault="00000000" w:rsidRPr="00000000">
      <w:pPr>
        <w:tabs>
          <w:tab w:val="left" w:pos="7290"/>
        </w:tabs>
        <w:contextualSpacing w:val="0"/>
      </w:pPr>
      <w:r w:rsidDel="00000000" w:rsidR="00000000" w:rsidRPr="00000000">
        <w:rPr>
          <w:rtl w:val="0"/>
        </w:rPr>
      </w:r>
    </w:p>
    <w:tbl>
      <w:tblPr>
        <w:tblStyle w:val="Table1"/>
        <w:bidi w:val="0"/>
        <w:tblW w:w="10620.0" w:type="dxa"/>
        <w:jc w:val="left"/>
        <w:tblInd w:w="-630.0" w:type="dxa"/>
        <w:tblLayout w:type="fixed"/>
        <w:tblLook w:val="0000"/>
      </w:tblPr>
      <w:tblGrid>
        <w:gridCol w:w="900"/>
        <w:gridCol w:w="1440"/>
        <w:gridCol w:w="900"/>
        <w:gridCol w:w="990"/>
        <w:gridCol w:w="990"/>
        <w:gridCol w:w="1170"/>
        <w:gridCol w:w="1350"/>
        <w:gridCol w:w="900"/>
        <w:gridCol w:w="1020"/>
        <w:gridCol w:w="960"/>
        <w:tblGridChange w:id="0">
          <w:tblGrid>
            <w:gridCol w:w="900"/>
            <w:gridCol w:w="1440"/>
            <w:gridCol w:w="900"/>
            <w:gridCol w:w="990"/>
            <w:gridCol w:w="990"/>
            <w:gridCol w:w="1170"/>
            <w:gridCol w:w="1350"/>
            <w:gridCol w:w="900"/>
            <w:gridCol w:w="1020"/>
            <w:gridCol w:w="960"/>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Concert </w:t>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Performance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Partici-</w:t>
            </w:r>
          </w:p>
          <w:p w:rsidR="00000000" w:rsidDel="00000000" w:rsidP="00000000" w:rsidRDefault="00000000" w:rsidRPr="00000000">
            <w:pPr>
              <w:contextualSpacing w:val="0"/>
              <w:jc w:val="left"/>
            </w:pPr>
            <w:r w:rsidDel="00000000" w:rsidR="00000000" w:rsidRPr="00000000">
              <w:rPr>
                <w:rFonts w:ascii="Calibri" w:cs="Calibri" w:eastAsia="Calibri" w:hAnsi="Calibri"/>
                <w:sz w:val="22"/>
                <w:szCs w:val="22"/>
                <w:rtl w:val="0"/>
              </w:rPr>
              <w:t xml:space="preserve">pation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Attend-</w:t>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ance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Effort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Projection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Preparation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Part checks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Posture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Grade</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Raw Score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ind w:left="-375" w:firstLine="0"/>
              <w:contextualSpacing w:val="0"/>
              <w:jc w:val="right"/>
            </w:pPr>
            <w:r w:rsidDel="00000000" w:rsidR="00000000" w:rsidRPr="00000000">
              <w:rPr>
                <w:rFonts w:ascii="Calibri" w:cs="Calibri" w:eastAsia="Calibri" w:hAnsi="Calibri"/>
                <w:color w:val="000000"/>
                <w:sz w:val="22"/>
                <w:szCs w:val="22"/>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Weight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22"/>
                <w:szCs w:val="22"/>
                <w:rtl w:val="0"/>
              </w:rPr>
              <w:t xml:space="preserve">40</w:t>
            </w:r>
            <w:r w:rsidDel="00000000" w:rsidR="00000000" w:rsidRPr="00000000">
              <w:rPr>
                <w:rFonts w:ascii="Calibri" w:cs="Calibri" w:eastAsia="Calibri" w:hAnsi="Calibri"/>
                <w:color w:val="000000"/>
                <w:sz w:val="22"/>
                <w:szCs w:val="22"/>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22"/>
                <w:szCs w:val="22"/>
                <w:rtl w:val="0"/>
              </w:rPr>
              <w:t xml:space="preserve">10</w:t>
            </w:r>
            <w:r w:rsidDel="00000000" w:rsidR="00000000" w:rsidRPr="00000000">
              <w:rPr>
                <w:rFonts w:ascii="Calibri" w:cs="Calibri" w:eastAsia="Calibri" w:hAnsi="Calibri"/>
                <w:color w:val="000000"/>
                <w:sz w:val="22"/>
                <w:szCs w:val="22"/>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color w:val="000000"/>
                <w:sz w:val="22"/>
                <w:szCs w:val="22"/>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Calibri" w:cs="Calibri" w:eastAsia="Calibri" w:hAnsi="Calibri"/>
                <w:color w:val="000000"/>
                <w:sz w:val="22"/>
                <w:szCs w:val="22"/>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Graduation Choir for Seniors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ab/>
      </w:r>
      <w:r w:rsidDel="00000000" w:rsidR="00000000" w:rsidRPr="00000000">
        <w:rPr>
          <w:sz w:val="22"/>
          <w:szCs w:val="22"/>
          <w:vertAlign w:val="baseline"/>
          <w:rtl w:val="0"/>
        </w:rPr>
        <w:t xml:space="preserve">After the last formal concert of the year, Senior Choir practice will begin for graduation. All senior choral members must </w:t>
      </w:r>
      <w:r w:rsidDel="00000000" w:rsidR="00000000" w:rsidRPr="00000000">
        <w:rPr>
          <w:b w:val="1"/>
          <w:sz w:val="22"/>
          <w:szCs w:val="22"/>
          <w:vertAlign w:val="baseline"/>
          <w:rtl w:val="0"/>
        </w:rPr>
        <w:t xml:space="preserve">attend 10 rehearsals at 10 points each</w:t>
      </w:r>
      <w:r w:rsidDel="00000000" w:rsidR="00000000" w:rsidRPr="00000000">
        <w:rPr>
          <w:sz w:val="22"/>
          <w:szCs w:val="22"/>
          <w:vertAlign w:val="baseline"/>
          <w:rtl w:val="0"/>
        </w:rPr>
        <w:t xml:space="preserve"> in order to be eligible to sing at graduation. The participation portion of the final grade will be determined by attendance to these practices which will be held during the school day.</w:t>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62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8"/>
      <w:szCs w:val="28"/>
      <w:vertAlign w:val="baseline"/>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0"/>
      <w:sz w:val="24"/>
      <w:szCs w:val="24"/>
      <w:vertAlign w:val="baseline"/>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